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13D3" w14:textId="77777777" w:rsidR="00516101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Республиканское унитарное предприятие «Национальный выставочный центр «БелЭкспо»,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158C7DB1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49BEA27A" w14:textId="77777777" w:rsidR="00516101" w:rsidRDefault="00000000">
      <w:pPr>
        <w:pStyle w:val="NoSpacing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14:paraId="316BFE7C" w14:textId="52C205DB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 w:rsidR="005D7F77" w:rsidRPr="005D7F77">
        <w:rPr>
          <w:rFonts w:ascii="Times New Roman" w:hAnsi="Times New Roman" w:cs="Times New Roman"/>
          <w:b/>
          <w:lang w:val="ru-RU"/>
        </w:rPr>
        <w:t>50-</w:t>
      </w:r>
      <w:r w:rsidR="005D7F77">
        <w:rPr>
          <w:rFonts w:ascii="Times New Roman" w:hAnsi="Times New Roman" w:cs="Times New Roman"/>
          <w:b/>
          <w:lang w:val="ru-RU"/>
        </w:rPr>
        <w:t>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="005D7F77">
        <w:rPr>
          <w:rFonts w:ascii="Times New Roman" w:hAnsi="Times New Roman" w:cs="Times New Roman"/>
          <w:b/>
          <w:lang w:val="ru-RU"/>
        </w:rPr>
        <w:t>М</w:t>
      </w:r>
      <w:r>
        <w:rPr>
          <w:rFonts w:ascii="Times New Roman" w:hAnsi="Times New Roman" w:cs="Times New Roman"/>
          <w:b/>
          <w:lang w:val="ru-RU"/>
        </w:rPr>
        <w:t>еждународной выставке</w:t>
      </w:r>
      <w:r w:rsidR="005D7F77">
        <w:rPr>
          <w:rFonts w:ascii="Times New Roman" w:hAnsi="Times New Roman" w:cs="Times New Roman"/>
          <w:b/>
          <w:lang w:val="ru-RU"/>
        </w:rPr>
        <w:t>-ярмарке по оптовой продаже товаров легкой промышленности</w:t>
      </w:r>
      <w:r>
        <w:rPr>
          <w:rFonts w:ascii="Times New Roman" w:hAnsi="Times New Roman" w:cs="Times New Roman"/>
          <w:b/>
          <w:lang w:val="ru-RU"/>
        </w:rPr>
        <w:t xml:space="preserve"> «</w:t>
      </w:r>
      <w:r w:rsidR="005D7F77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Выставка).</w:t>
      </w:r>
    </w:p>
    <w:p w14:paraId="170E9E8F" w14:textId="4659AD4E" w:rsidR="00516101" w:rsidRDefault="00000000">
      <w:pPr>
        <w:pStyle w:val="ListParagraph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</w:t>
      </w:r>
      <w:r w:rsidR="005D7F77" w:rsidRPr="005D7F77">
        <w:rPr>
          <w:rFonts w:eastAsiaTheme="minorHAnsi"/>
          <w:sz w:val="22"/>
          <w:szCs w:val="22"/>
          <w:lang w:eastAsia="en-US"/>
        </w:rPr>
        <w:t>5</w:t>
      </w:r>
      <w:r>
        <w:rPr>
          <w:rFonts w:eastAsiaTheme="minorHAnsi"/>
          <w:sz w:val="22"/>
          <w:szCs w:val="22"/>
          <w:lang w:eastAsia="en-US"/>
        </w:rPr>
        <w:t>-1</w:t>
      </w:r>
      <w:r w:rsidR="005D7F77" w:rsidRPr="005D7F77">
        <w:rPr>
          <w:rFonts w:eastAsiaTheme="minorHAnsi"/>
          <w:sz w:val="22"/>
          <w:szCs w:val="22"/>
          <w:lang w:eastAsia="en-US"/>
        </w:rPr>
        <w:t>9</w:t>
      </w:r>
      <w:r>
        <w:rPr>
          <w:rFonts w:eastAsiaTheme="minorHAnsi"/>
          <w:sz w:val="22"/>
          <w:szCs w:val="22"/>
          <w:lang w:eastAsia="en-US"/>
        </w:rPr>
        <w:t>.</w:t>
      </w:r>
      <w:r w:rsidR="005D7F77" w:rsidRPr="005D7F7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5D7F77" w:rsidRPr="005D7F77">
        <w:rPr>
          <w:rFonts w:eastAsiaTheme="minorHAnsi"/>
          <w:sz w:val="22"/>
          <w:szCs w:val="22"/>
          <w:lang w:eastAsia="en-US"/>
        </w:rPr>
        <w:t>20</w:t>
      </w:r>
      <w:r>
        <w:rPr>
          <w:rFonts w:eastAsiaTheme="minorHAnsi"/>
          <w:sz w:val="22"/>
          <w:szCs w:val="22"/>
          <w:lang w:eastAsia="en-US"/>
        </w:rPr>
        <w:t>.</w:t>
      </w:r>
      <w:r w:rsidR="005D7F77" w:rsidRPr="005D7F7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5D7F77" w:rsidRPr="005D7F77">
        <w:rPr>
          <w:rFonts w:eastAsiaTheme="minorHAnsi"/>
          <w:sz w:val="22"/>
          <w:szCs w:val="22"/>
          <w:lang w:eastAsia="en-US"/>
        </w:rPr>
        <w:t>21-22</w:t>
      </w:r>
      <w:r>
        <w:rPr>
          <w:rFonts w:eastAsiaTheme="minorHAnsi"/>
          <w:sz w:val="22"/>
          <w:szCs w:val="22"/>
          <w:lang w:eastAsia="en-US"/>
        </w:rPr>
        <w:t>.</w:t>
      </w:r>
      <w:r w:rsidR="005D7F77" w:rsidRPr="005D7F7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18.00, </w:t>
      </w:r>
      <w:r w:rsidR="005D7F77" w:rsidRPr="005D7F77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5D7F77" w:rsidRPr="005D7F7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 xml:space="preserve">.2026г. с 10.00 до 16.00; демонтаж: </w:t>
      </w:r>
      <w:r w:rsidR="005D7F77" w:rsidRPr="005D7F77">
        <w:rPr>
          <w:rFonts w:eastAsiaTheme="minorHAnsi"/>
          <w:sz w:val="22"/>
          <w:szCs w:val="22"/>
          <w:lang w:eastAsia="en-US"/>
        </w:rPr>
        <w:t>23</w:t>
      </w:r>
      <w:r>
        <w:rPr>
          <w:rFonts w:eastAsiaTheme="minorHAnsi"/>
          <w:sz w:val="22"/>
          <w:szCs w:val="22"/>
          <w:lang w:eastAsia="en-US"/>
        </w:rPr>
        <w:t>.</w:t>
      </w:r>
      <w:r w:rsidR="005D7F77" w:rsidRPr="005D7F77">
        <w:rPr>
          <w:rFonts w:eastAsiaTheme="minorHAnsi"/>
          <w:sz w:val="22"/>
          <w:szCs w:val="22"/>
          <w:lang w:eastAsia="en-US"/>
        </w:rPr>
        <w:t>10</w:t>
      </w:r>
      <w:r>
        <w:rPr>
          <w:rFonts w:eastAsiaTheme="minorHAnsi"/>
          <w:sz w:val="22"/>
          <w:szCs w:val="22"/>
          <w:lang w:eastAsia="en-US"/>
        </w:rPr>
        <w:t>.2026г. с 16.00 до 22.00.</w:t>
      </w:r>
    </w:p>
    <w:p w14:paraId="26E5A0AD" w14:textId="77777777" w:rsidR="00516101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Место проведения выставки: Минский международный выставочный центр, ул. П.Медёлки, 24, г.Минск, Республика Беларусь.</w:t>
      </w:r>
    </w:p>
    <w:p w14:paraId="5251E6B0" w14:textId="4B8BD3A1" w:rsidR="00516101" w:rsidRDefault="00000000">
      <w:pPr>
        <w:pStyle w:val="ListParagraph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r w:rsidR="005D7F77">
        <w:rPr>
          <w:sz w:val="22"/>
          <w:szCs w:val="22"/>
          <w:lang w:val="en-US"/>
        </w:rPr>
        <w:fldChar w:fldCharType="begin"/>
      </w:r>
      <w:r w:rsidR="005D7F77">
        <w:rPr>
          <w:sz w:val="22"/>
          <w:szCs w:val="22"/>
          <w:lang w:val="en-US"/>
        </w:rPr>
        <w:instrText>HYPERLINK</w:instrText>
      </w:r>
      <w:r w:rsidR="005D7F77" w:rsidRPr="005D7F77">
        <w:rPr>
          <w:sz w:val="22"/>
          <w:szCs w:val="22"/>
        </w:rPr>
        <w:instrText xml:space="preserve"> "</w:instrText>
      </w:r>
      <w:r w:rsidR="005D7F77">
        <w:rPr>
          <w:sz w:val="22"/>
          <w:szCs w:val="22"/>
          <w:lang w:val="en-US"/>
        </w:rPr>
        <w:instrText>mailto</w:instrText>
      </w:r>
      <w:r w:rsidR="005D7F77" w:rsidRPr="005D7F77">
        <w:rPr>
          <w:sz w:val="22"/>
          <w:szCs w:val="22"/>
        </w:rPr>
        <w:instrText>:</w:instrText>
      </w:r>
      <w:r w:rsidR="005D7F77" w:rsidRPr="005D7F77">
        <w:rPr>
          <w:sz w:val="22"/>
          <w:szCs w:val="22"/>
          <w:lang w:val="en-US"/>
        </w:rPr>
        <w:instrText>sav</w:instrText>
      </w:r>
      <w:r w:rsidR="005D7F77" w:rsidRPr="005D7F77">
        <w:rPr>
          <w:sz w:val="22"/>
          <w:szCs w:val="22"/>
        </w:rPr>
        <w:instrText>@belexpo.by"</w:instrText>
      </w:r>
      <w:r w:rsidR="005D7F77">
        <w:rPr>
          <w:sz w:val="22"/>
          <w:szCs w:val="22"/>
          <w:lang w:val="en-US"/>
        </w:rPr>
        <w:fldChar w:fldCharType="separate"/>
      </w:r>
      <w:r w:rsidR="005D7F77" w:rsidRPr="008116B3">
        <w:rPr>
          <w:rStyle w:val="Hyperlink"/>
          <w:sz w:val="22"/>
          <w:szCs w:val="22"/>
          <w:lang w:val="en-US"/>
        </w:rPr>
        <w:t>sav</w:t>
      </w:r>
      <w:r w:rsidR="005D7F77" w:rsidRPr="008116B3">
        <w:rPr>
          <w:rStyle w:val="Hyperlink"/>
          <w:sz w:val="22"/>
          <w:szCs w:val="22"/>
        </w:rPr>
        <w:t>@belexpo.by</w:t>
      </w:r>
      <w:r w:rsidR="005D7F77">
        <w:rPr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, и Счетом, являющимся неотъемлемой частью Договора. </w:t>
      </w:r>
    </w:p>
    <w:p w14:paraId="2B0BBF9C" w14:textId="2608ED87" w:rsidR="00516101" w:rsidRDefault="00000000">
      <w:pPr>
        <w:pStyle w:val="NoSpacing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5D7F77">
        <w:rPr>
          <w:rFonts w:ascii="Times New Roman" w:hAnsi="Times New Roman" w:cs="Times New Roman"/>
          <w:b/>
        </w:rPr>
        <w:t>BTI</w:t>
      </w:r>
      <w:r>
        <w:rPr>
          <w:rFonts w:ascii="Times New Roman" w:hAnsi="Times New Roman" w:cs="Times New Roman"/>
          <w:b/>
          <w:lang w:val="ru-RU"/>
        </w:rPr>
        <w:t>-2026»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r w:rsidR="005D7F77">
        <w:rPr>
          <w:rFonts w:ascii="Times New Roman" w:hAnsi="Times New Roman" w:cs="Times New Roman"/>
          <w:lang w:val="ru-RU"/>
        </w:rPr>
        <w:fldChar w:fldCharType="begin"/>
      </w:r>
      <w:r w:rsidR="005D7F77">
        <w:rPr>
          <w:rFonts w:ascii="Times New Roman" w:hAnsi="Times New Roman" w:cs="Times New Roman"/>
          <w:lang w:val="ru-RU"/>
        </w:rPr>
        <w:instrText>HYPERLINK "http://</w:instrText>
      </w:r>
      <w:r w:rsidR="005D7F77" w:rsidRPr="005D7F77">
        <w:rPr>
          <w:rFonts w:ascii="Times New Roman" w:hAnsi="Times New Roman" w:cs="Times New Roman"/>
          <w:lang w:val="ru-RU"/>
        </w:rPr>
        <w:instrText>www.</w:instrText>
      </w:r>
      <w:r w:rsidR="005D7F77" w:rsidRPr="005D7F77">
        <w:rPr>
          <w:rFonts w:ascii="Times New Roman" w:hAnsi="Times New Roman" w:cs="Times New Roman"/>
        </w:rPr>
        <w:instrText>bti</w:instrText>
      </w:r>
      <w:r w:rsidR="005D7F77" w:rsidRPr="005D7F77">
        <w:rPr>
          <w:rFonts w:ascii="Times New Roman" w:hAnsi="Times New Roman" w:cs="Times New Roman"/>
          <w:lang w:val="ru-RU"/>
        </w:rPr>
        <w:instrText>.by</w:instrText>
      </w:r>
      <w:r w:rsidR="005D7F77">
        <w:rPr>
          <w:rFonts w:ascii="Times New Roman" w:hAnsi="Times New Roman" w:cs="Times New Roman"/>
          <w:lang w:val="ru-RU"/>
        </w:rPr>
        <w:instrText>"</w:instrText>
      </w:r>
      <w:r w:rsidR="005D7F77">
        <w:rPr>
          <w:rFonts w:ascii="Times New Roman" w:hAnsi="Times New Roman" w:cs="Times New Roman"/>
          <w:lang w:val="ru-RU"/>
        </w:rPr>
        <w:fldChar w:fldCharType="separate"/>
      </w:r>
      <w:r w:rsidR="005D7F77" w:rsidRPr="008116B3">
        <w:rPr>
          <w:rStyle w:val="Hyperlink"/>
          <w:rFonts w:ascii="Times New Roman" w:hAnsi="Times New Roman" w:cs="Times New Roman"/>
          <w:lang w:val="ru-RU"/>
        </w:rPr>
        <w:t>www.</w:t>
      </w:r>
      <w:r w:rsidR="005D7F77" w:rsidRPr="008116B3">
        <w:rPr>
          <w:rStyle w:val="Hyperlink"/>
          <w:rFonts w:ascii="Times New Roman" w:hAnsi="Times New Roman" w:cs="Times New Roman"/>
        </w:rPr>
        <w:t>bti</w:t>
      </w:r>
      <w:r w:rsidR="005D7F77" w:rsidRPr="008116B3">
        <w:rPr>
          <w:rStyle w:val="Hyperlink"/>
          <w:rFonts w:ascii="Times New Roman" w:hAnsi="Times New Roman" w:cs="Times New Roman"/>
          <w:lang w:val="ru-RU"/>
        </w:rPr>
        <w:t>.by</w:t>
      </w:r>
      <w:r w:rsidR="005D7F77"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7CC29D0F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51103D09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77027462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3437C5F1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5AB18F95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евро по курсу белорусского рубля к евро, установленному Национальным Банком Республики Беларусь на день оплаты (http://www.nbrb.by). </w:t>
      </w:r>
    </w:p>
    <w:p w14:paraId="68DE2995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2DEE2CE5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253D1905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33F5A7C3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7231C099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79B6A8D6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14:paraId="6F78124D" w14:textId="77777777" w:rsidR="00516101" w:rsidRDefault="00000000">
      <w:pPr>
        <w:pStyle w:val="NoSpacing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6C62F7DA" w14:textId="77777777" w:rsidR="00516101" w:rsidRDefault="00000000">
      <w:pPr>
        <w:pStyle w:val="ListParagraph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2BCB44FB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3022227B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2891A599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768A9B0C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3E6B0B9A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14:paraId="2BA8F0AF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0B2625F8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518B5E01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6AA22E11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6ACE3CFB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05065E3A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6059800E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649280A3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635DC81A" w14:textId="77777777" w:rsidR="00516101" w:rsidRDefault="00000000">
      <w:pPr>
        <w:pStyle w:val="NoSpacing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1FD273F3" w14:textId="77777777" w:rsidR="00516101" w:rsidRDefault="00000000">
      <w:pPr>
        <w:pStyle w:val="NoSpacing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67B6F755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713B71B6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10863A4C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14:paraId="08772DBC" w14:textId="77777777" w:rsidR="00516101" w:rsidRDefault="00516101">
      <w:pPr>
        <w:pStyle w:val="NoSpacing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5F223AA5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3F30B25E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4A37A59A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53D8DC89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41915A92" w14:textId="77777777" w:rsidR="00516101" w:rsidRDefault="00000000">
      <w:pPr>
        <w:pStyle w:val="NoSpacing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04C74F9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10303772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24CBD2BB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г.Минска. </w:t>
      </w:r>
      <w:r w:rsidRPr="005D7F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14:paraId="3A600843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1129C477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14:paraId="0A62BFB5" w14:textId="77777777" w:rsidR="00516101" w:rsidRDefault="00000000">
      <w:pPr>
        <w:pStyle w:val="NoSpacing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09613842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71B7E39C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14:paraId="36A3DB3F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«БелЭкспо» является генеральным застройщиком выставочных стендов на выставках, проводимых государственным предприятием «БелЭкспо».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«БелЭкспо» (</w:t>
      </w:r>
      <w:r>
        <w:fldChar w:fldCharType="begin"/>
      </w:r>
      <w:r>
        <w:instrText>HYPERLINK</w:instrText>
      </w:r>
      <w:r w:rsidRPr="005D7F77">
        <w:rPr>
          <w:lang w:val="ru-RU"/>
        </w:rPr>
        <w:instrText xml:space="preserve"> "</w:instrText>
      </w:r>
      <w:r>
        <w:instrText>http</w:instrText>
      </w:r>
      <w:r w:rsidRPr="005D7F77">
        <w:rPr>
          <w:lang w:val="ru-RU"/>
        </w:rPr>
        <w:instrText>://</w:instrText>
      </w:r>
      <w:r>
        <w:instrText>www</w:instrText>
      </w:r>
      <w:r w:rsidRPr="005D7F77">
        <w:rPr>
          <w:lang w:val="ru-RU"/>
        </w:rPr>
        <w:instrText>.</w:instrText>
      </w:r>
      <w:r>
        <w:instrText>belexpo</w:instrText>
      </w:r>
      <w:r w:rsidRPr="005D7F77">
        <w:rPr>
          <w:lang w:val="ru-RU"/>
        </w:rPr>
        <w:instrText>.</w:instrText>
      </w:r>
      <w:r>
        <w:instrText>by</w:instrText>
      </w:r>
      <w:r w:rsidRPr="005D7F77">
        <w:rPr>
          <w:lang w:val="ru-RU"/>
        </w:rPr>
        <w:instrText>" \</w:instrText>
      </w:r>
      <w:r>
        <w:instrText>o</w:instrText>
      </w:r>
      <w:r w:rsidRPr="005D7F77">
        <w:rPr>
          <w:lang w:val="ru-RU"/>
        </w:rPr>
        <w:instrText xml:space="preserve"> "</w:instrText>
      </w:r>
      <w:r>
        <w:instrText>http</w:instrText>
      </w:r>
      <w:r w:rsidRPr="005D7F77">
        <w:rPr>
          <w:lang w:val="ru-RU"/>
        </w:rPr>
        <w:instrText>://</w:instrText>
      </w:r>
      <w:r>
        <w:instrText>www</w:instrText>
      </w:r>
      <w:r w:rsidRPr="005D7F77">
        <w:rPr>
          <w:lang w:val="ru-RU"/>
        </w:rPr>
        <w:instrText>.</w:instrText>
      </w:r>
      <w:r>
        <w:instrText>belexpo</w:instrText>
      </w:r>
      <w:r w:rsidRPr="005D7F77">
        <w:rPr>
          <w:lang w:val="ru-RU"/>
        </w:rPr>
        <w:instrText>.</w:instrText>
      </w:r>
      <w:r>
        <w:instrText>by</w:instrText>
      </w:r>
      <w:r w:rsidRPr="005D7F77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www.belexpo.by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14:paraId="471ED83A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«БелЭкспо», тел. (+375 29) 911 56 54, e-mail: </w:t>
      </w:r>
      <w:r>
        <w:fldChar w:fldCharType="begin"/>
      </w:r>
      <w:r>
        <w:instrText>HYPERLINK "mailto:product@ck.by" \o "mailto:product@ck.by"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leg@belexpo.by</w:t>
      </w:r>
      <w:r>
        <w:fldChar w:fldCharType="end"/>
      </w:r>
      <w:r>
        <w:rPr>
          <w:rFonts w:ascii="Times New Roman" w:hAnsi="Times New Roman" w:cs="Times New Roman"/>
          <w:lang w:val="ru-RU"/>
        </w:rPr>
        <w:t>, сайт – www.otpusk.by.</w:t>
      </w:r>
    </w:p>
    <w:p w14:paraId="055A08D5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E-mail: </w:t>
      </w:r>
      <w:r>
        <w:fldChar w:fldCharType="begin"/>
      </w:r>
      <w:r>
        <w:instrText>HYPERLINK</w:instrText>
      </w:r>
      <w:r w:rsidRPr="005D7F77">
        <w:rPr>
          <w:lang w:val="ru-RU"/>
        </w:rPr>
        <w:instrText xml:space="preserve"> "</w:instrText>
      </w:r>
      <w:r>
        <w:instrText>mailto</w:instrText>
      </w:r>
      <w:r w:rsidRPr="005D7F77">
        <w:rPr>
          <w:lang w:val="ru-RU"/>
        </w:rPr>
        <w:instrText>:</w:instrText>
      </w:r>
      <w:r>
        <w:instrText>info</w:instrText>
      </w:r>
      <w:r w:rsidRPr="005D7F77">
        <w:rPr>
          <w:lang w:val="ru-RU"/>
        </w:rPr>
        <w:instrText>@</w:instrText>
      </w:r>
      <w:r>
        <w:instrText>ekspeditor</w:instrText>
      </w:r>
      <w:r w:rsidRPr="005D7F77">
        <w:rPr>
          <w:lang w:val="ru-RU"/>
        </w:rPr>
        <w:instrText>.</w:instrText>
      </w:r>
      <w:r>
        <w:instrText>com</w:instrText>
      </w:r>
      <w:r w:rsidRPr="005D7F77">
        <w:rPr>
          <w:lang w:val="ru-RU"/>
        </w:rPr>
        <w:instrText>" \</w:instrText>
      </w:r>
      <w:r>
        <w:instrText>o</w:instrText>
      </w:r>
      <w:r w:rsidRPr="005D7F77">
        <w:rPr>
          <w:lang w:val="ru-RU"/>
        </w:rPr>
        <w:instrText xml:space="preserve"> "</w:instrText>
      </w:r>
      <w:r>
        <w:instrText>mailto</w:instrText>
      </w:r>
      <w:r w:rsidRPr="005D7F77">
        <w:rPr>
          <w:lang w:val="ru-RU"/>
        </w:rPr>
        <w:instrText>:</w:instrText>
      </w:r>
      <w:r>
        <w:instrText>info</w:instrText>
      </w:r>
      <w:r w:rsidRPr="005D7F77">
        <w:rPr>
          <w:lang w:val="ru-RU"/>
        </w:rPr>
        <w:instrText>@</w:instrText>
      </w:r>
      <w:r>
        <w:instrText>ekspeditor</w:instrText>
      </w:r>
      <w:r w:rsidRPr="005D7F77">
        <w:rPr>
          <w:lang w:val="ru-RU"/>
        </w:rPr>
        <w:instrText>.</w:instrText>
      </w:r>
      <w:r>
        <w:instrText>com</w:instrText>
      </w:r>
      <w:r w:rsidRPr="005D7F77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Times New Roman" w:hAnsi="Times New Roman" w:cs="Times New Roman"/>
          <w:lang w:val="ru-RU"/>
        </w:rPr>
        <w:t>info@e</w:t>
      </w:r>
      <w:proofErr w:type="spellStart"/>
      <w:r>
        <w:rPr>
          <w:rStyle w:val="Hyperlink"/>
          <w:rFonts w:ascii="Times New Roman" w:hAnsi="Times New Roman" w:cs="Times New Roman"/>
        </w:rPr>
        <w:t>ks</w:t>
      </w:r>
      <w:proofErr w:type="spellEnd"/>
      <w:r>
        <w:rPr>
          <w:rStyle w:val="Hyperlink"/>
          <w:rFonts w:ascii="Times New Roman" w:hAnsi="Times New Roman" w:cs="Times New Roman"/>
          <w:lang w:val="ru-RU"/>
        </w:rPr>
        <w:t>peditor.com</w:t>
      </w:r>
      <w: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14:paraId="6A118C19" w14:textId="77777777" w:rsidR="00516101" w:rsidRDefault="00000000">
      <w:pPr>
        <w:pStyle w:val="NoSpacing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3E38882E" w14:textId="77777777" w:rsidR="00516101" w:rsidRDefault="0051610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516101" w14:paraId="039A4847" w14:textId="77777777">
        <w:trPr>
          <w:trHeight w:val="1775"/>
        </w:trPr>
        <w:tc>
          <w:tcPr>
            <w:tcW w:w="5245" w:type="dxa"/>
          </w:tcPr>
          <w:p w14:paraId="19CD122C" w14:textId="77777777" w:rsidR="0051610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14:paraId="6B3EE412" w14:textId="77777777" w:rsidR="00516101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«БелЭкспо»</w:t>
            </w:r>
          </w:p>
          <w:p w14:paraId="66C06852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14:paraId="7E6EED46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ул.Павлины Медёлки, 24, г.Минск, 220080.</w:t>
            </w:r>
          </w:p>
          <w:p w14:paraId="00918E52" w14:textId="77777777" w:rsidR="00516101" w:rsidRDefault="0000000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14:paraId="6B0D84E0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получатель:                            </w:t>
            </w:r>
          </w:p>
          <w:p w14:paraId="00AF8236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PRIORBANK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MINSK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BELARUS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  <w:p w14:paraId="682301CB" w14:textId="77777777" w:rsidR="00516101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SWIFT: PJCBBY2X                            </w:t>
            </w:r>
          </w:p>
          <w:p w14:paraId="2208C116" w14:textId="77777777" w:rsidR="00516101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Beneficiary account number                            </w:t>
            </w:r>
          </w:p>
          <w:p w14:paraId="44E41CFE" w14:textId="77777777" w:rsidR="00516101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BY57PJCB30120814081000000978 </w:t>
            </w:r>
          </w:p>
          <w:p w14:paraId="7E39185B" w14:textId="77777777" w:rsidR="00516101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Correspondent bank                            </w:t>
            </w:r>
          </w:p>
          <w:p w14:paraId="6F686453" w14:textId="77777777" w:rsidR="00516101" w:rsidRDefault="000000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  <w:lang w:val="en-US"/>
              </w:rPr>
              <w:t xml:space="preserve">. 55045512 RAIFFEISEN BANK INTERNATIONAL AG, VIENNA, AUSTRIA                            </w:t>
            </w:r>
          </w:p>
          <w:p w14:paraId="12DDBB5E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SWIFT : RZBAATWW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516101" w14:paraId="0196ED85" w14:textId="77777777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5F69B853" w14:textId="77777777" w:rsidR="00516101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14:paraId="75D12450" w14:textId="77777777" w:rsidR="00516101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14:paraId="736AFAEF" w14:textId="77777777" w:rsidR="00516101" w:rsidRDefault="00516101">
                  <w:pPr>
                    <w:rPr>
                      <w:sz w:val="22"/>
                      <w:szCs w:val="22"/>
                    </w:rPr>
                  </w:pPr>
                </w:p>
                <w:p w14:paraId="6A2995FD" w14:textId="77777777" w:rsidR="00516101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14:paraId="586BEBCB" w14:textId="77777777" w:rsidR="00516101" w:rsidRDefault="00516101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3F419F44" w14:textId="77777777" w:rsidR="00516101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14:paraId="5387C958" w14:textId="77777777" w:rsidR="00516101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14:paraId="1B44266A" w14:textId="77777777" w:rsidR="00516101" w:rsidRDefault="000000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14:paraId="20826423" w14:textId="77777777" w:rsidR="00516101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14:paraId="45484BF6" w14:textId="77777777" w:rsidR="00516101" w:rsidRDefault="00000000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516101" w14:paraId="4BC4022C" w14:textId="77777777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1622AFEE" w14:textId="77777777" w:rsidR="00516101" w:rsidRDefault="00516101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3994269E" w14:textId="77777777" w:rsidR="00516101" w:rsidRDefault="00516101">
            <w:pPr>
              <w:rPr>
                <w:sz w:val="22"/>
                <w:szCs w:val="22"/>
              </w:rPr>
            </w:pPr>
          </w:p>
        </w:tc>
      </w:tr>
      <w:tr w:rsidR="00516101" w14:paraId="6FCF22B6" w14:textId="77777777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50D38D34" w14:textId="77777777" w:rsidR="00516101" w:rsidRDefault="00516101">
            <w:pPr>
              <w:rPr>
                <w:sz w:val="22"/>
                <w:szCs w:val="22"/>
              </w:rPr>
            </w:pPr>
          </w:p>
          <w:p w14:paraId="5EDCF3AF" w14:textId="77777777" w:rsidR="00516101" w:rsidRDefault="00516101">
            <w:pPr>
              <w:rPr>
                <w:sz w:val="22"/>
                <w:szCs w:val="22"/>
              </w:rPr>
            </w:pPr>
          </w:p>
          <w:p w14:paraId="5D7D5AB6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14:paraId="2D0DE5AA" w14:textId="77777777" w:rsidR="00516101" w:rsidRDefault="000000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093073AB" w14:textId="77777777" w:rsidR="00516101" w:rsidRDefault="00516101">
            <w:pPr>
              <w:rPr>
                <w:sz w:val="22"/>
                <w:szCs w:val="22"/>
              </w:rPr>
            </w:pPr>
          </w:p>
          <w:p w14:paraId="22D2107C" w14:textId="77777777" w:rsidR="00516101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78738CC3" w14:textId="77777777" w:rsidR="00516101" w:rsidRDefault="00516101">
      <w:pPr>
        <w:rPr>
          <w:sz w:val="22"/>
          <w:szCs w:val="22"/>
        </w:rPr>
      </w:pPr>
    </w:p>
    <w:p w14:paraId="03EBFD5E" w14:textId="77777777" w:rsidR="00516101" w:rsidRDefault="00516101">
      <w:pPr>
        <w:rPr>
          <w:sz w:val="22"/>
          <w:szCs w:val="22"/>
        </w:rPr>
      </w:pPr>
    </w:p>
    <w:sectPr w:rsidR="00516101">
      <w:headerReference w:type="first" r:id="rId10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CDAE" w14:textId="77777777" w:rsidR="009E4CC9" w:rsidRDefault="009E4CC9">
      <w:r>
        <w:separator/>
      </w:r>
    </w:p>
  </w:endnote>
  <w:endnote w:type="continuationSeparator" w:id="0">
    <w:p w14:paraId="6E104A93" w14:textId="77777777" w:rsidR="009E4CC9" w:rsidRDefault="009E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D3DB" w14:textId="77777777" w:rsidR="009E4CC9" w:rsidRDefault="009E4CC9">
      <w:r>
        <w:separator/>
      </w:r>
    </w:p>
  </w:footnote>
  <w:footnote w:type="continuationSeparator" w:id="0">
    <w:p w14:paraId="20C1DA97" w14:textId="77777777" w:rsidR="009E4CC9" w:rsidRDefault="009E4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3F9A" w14:textId="77777777" w:rsidR="00516101" w:rsidRDefault="00516101">
    <w:pPr>
      <w:pStyle w:val="NoSpacing"/>
      <w:rPr>
        <w:rFonts w:ascii="Arial" w:hAnsi="Arial" w:cs="Arial"/>
        <w:b/>
        <w:sz w:val="6"/>
        <w:lang w:val="ru-RU"/>
      </w:rPr>
    </w:pPr>
  </w:p>
  <w:p w14:paraId="52A3A121" w14:textId="77777777" w:rsidR="00516101" w:rsidRDefault="00000000">
    <w:pPr>
      <w:pStyle w:val="NoSpacing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TableGrid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516101" w14:paraId="0550C36B" w14:textId="77777777">
      <w:trPr>
        <w:trHeight w:val="1138"/>
      </w:trPr>
      <w:tc>
        <w:tcPr>
          <w:tcW w:w="4978" w:type="dxa"/>
        </w:tcPr>
        <w:p w14:paraId="6A6952F1" w14:textId="069F4B23" w:rsidR="00516101" w:rsidRDefault="005D7F77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28123B62" wp14:editId="5E7CE4E2">
                <wp:extent cx="923925" cy="1247775"/>
                <wp:effectExtent l="0" t="0" r="9525" b="9525"/>
                <wp:docPr id="1" name="Рисунок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8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92392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</w:tcPr>
        <w:p w14:paraId="659FCD3A" w14:textId="77777777" w:rsidR="00516101" w:rsidRDefault="00516101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3E911691" w14:textId="77777777" w:rsidR="00516101" w:rsidRDefault="00516101">
          <w:pPr>
            <w:pStyle w:val="NoSpacing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5F1B931D" w14:textId="77777777" w:rsidR="00516101" w:rsidRDefault="00000000">
          <w:pPr>
            <w:pStyle w:val="NoSpacing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3FE7A297" w14:textId="77777777" w:rsidR="00516101" w:rsidRDefault="00516101">
          <w:pPr>
            <w:pStyle w:val="NoSpacing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345559A4" w14:textId="77777777" w:rsidR="00516101" w:rsidRDefault="00000000">
          <w:pPr>
            <w:pStyle w:val="NoSpacing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495CB9CD" w14:textId="77777777" w:rsidR="00516101" w:rsidRDefault="00516101">
          <w:pPr>
            <w:pStyle w:val="NoSpacing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0665A077" w14:textId="77777777" w:rsidR="00516101" w:rsidRDefault="00516101">
    <w:pPr>
      <w:pStyle w:val="NoSpacing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A66"/>
    <w:multiLevelType w:val="hybridMultilevel"/>
    <w:tmpl w:val="BDF4B1EC"/>
    <w:lvl w:ilvl="0" w:tplc="210ADA06">
      <w:start w:val="1"/>
      <w:numFmt w:val="decimal"/>
      <w:lvlText w:val="%1."/>
      <w:lvlJc w:val="left"/>
      <w:pPr>
        <w:ind w:left="1080" w:hanging="360"/>
      </w:pPr>
    </w:lvl>
    <w:lvl w:ilvl="1" w:tplc="B7B8A0CE">
      <w:start w:val="1"/>
      <w:numFmt w:val="lowerLetter"/>
      <w:lvlText w:val="%2."/>
      <w:lvlJc w:val="left"/>
      <w:pPr>
        <w:ind w:left="1800" w:hanging="360"/>
      </w:pPr>
    </w:lvl>
    <w:lvl w:ilvl="2" w:tplc="8A9AB92C">
      <w:start w:val="1"/>
      <w:numFmt w:val="lowerRoman"/>
      <w:lvlText w:val="%3."/>
      <w:lvlJc w:val="right"/>
      <w:pPr>
        <w:ind w:left="2520" w:hanging="180"/>
      </w:pPr>
    </w:lvl>
    <w:lvl w:ilvl="3" w:tplc="7368F766">
      <w:start w:val="1"/>
      <w:numFmt w:val="decimal"/>
      <w:lvlText w:val="%4."/>
      <w:lvlJc w:val="left"/>
      <w:pPr>
        <w:ind w:left="3240" w:hanging="360"/>
      </w:pPr>
    </w:lvl>
    <w:lvl w:ilvl="4" w:tplc="B448C110">
      <w:start w:val="1"/>
      <w:numFmt w:val="lowerLetter"/>
      <w:lvlText w:val="%5."/>
      <w:lvlJc w:val="left"/>
      <w:pPr>
        <w:ind w:left="3960" w:hanging="360"/>
      </w:pPr>
    </w:lvl>
    <w:lvl w:ilvl="5" w:tplc="23B2C8BC">
      <w:start w:val="1"/>
      <w:numFmt w:val="lowerRoman"/>
      <w:lvlText w:val="%6."/>
      <w:lvlJc w:val="right"/>
      <w:pPr>
        <w:ind w:left="4680" w:hanging="180"/>
      </w:pPr>
    </w:lvl>
    <w:lvl w:ilvl="6" w:tplc="92BCC1B4">
      <w:start w:val="1"/>
      <w:numFmt w:val="decimal"/>
      <w:lvlText w:val="%7."/>
      <w:lvlJc w:val="left"/>
      <w:pPr>
        <w:ind w:left="5400" w:hanging="360"/>
      </w:pPr>
    </w:lvl>
    <w:lvl w:ilvl="7" w:tplc="AA6EDC24">
      <w:start w:val="1"/>
      <w:numFmt w:val="lowerLetter"/>
      <w:lvlText w:val="%8."/>
      <w:lvlJc w:val="left"/>
      <w:pPr>
        <w:ind w:left="6120" w:hanging="360"/>
      </w:pPr>
    </w:lvl>
    <w:lvl w:ilvl="8" w:tplc="FC76BED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AC7F1E"/>
    <w:multiLevelType w:val="multilevel"/>
    <w:tmpl w:val="F9248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0336B2B"/>
    <w:multiLevelType w:val="hybridMultilevel"/>
    <w:tmpl w:val="2A48796A"/>
    <w:lvl w:ilvl="0" w:tplc="4D623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E698E4">
      <w:start w:val="1"/>
      <w:numFmt w:val="lowerLetter"/>
      <w:lvlText w:val="%2."/>
      <w:lvlJc w:val="left"/>
      <w:pPr>
        <w:ind w:left="1440" w:hanging="360"/>
      </w:pPr>
    </w:lvl>
    <w:lvl w:ilvl="2" w:tplc="02FE1C90">
      <w:start w:val="1"/>
      <w:numFmt w:val="lowerRoman"/>
      <w:lvlText w:val="%3."/>
      <w:lvlJc w:val="right"/>
      <w:pPr>
        <w:ind w:left="2160" w:hanging="180"/>
      </w:pPr>
    </w:lvl>
    <w:lvl w:ilvl="3" w:tplc="1C1C9DC4">
      <w:start w:val="1"/>
      <w:numFmt w:val="decimal"/>
      <w:lvlText w:val="%4."/>
      <w:lvlJc w:val="left"/>
      <w:pPr>
        <w:ind w:left="2880" w:hanging="360"/>
      </w:pPr>
    </w:lvl>
    <w:lvl w:ilvl="4" w:tplc="E2B62078">
      <w:start w:val="1"/>
      <w:numFmt w:val="lowerLetter"/>
      <w:lvlText w:val="%5."/>
      <w:lvlJc w:val="left"/>
      <w:pPr>
        <w:ind w:left="3600" w:hanging="360"/>
      </w:pPr>
    </w:lvl>
    <w:lvl w:ilvl="5" w:tplc="14D6B358">
      <w:start w:val="1"/>
      <w:numFmt w:val="lowerRoman"/>
      <w:lvlText w:val="%6."/>
      <w:lvlJc w:val="right"/>
      <w:pPr>
        <w:ind w:left="4320" w:hanging="180"/>
      </w:pPr>
    </w:lvl>
    <w:lvl w:ilvl="6" w:tplc="BB5A08F2">
      <w:start w:val="1"/>
      <w:numFmt w:val="decimal"/>
      <w:lvlText w:val="%7."/>
      <w:lvlJc w:val="left"/>
      <w:pPr>
        <w:ind w:left="5040" w:hanging="360"/>
      </w:pPr>
    </w:lvl>
    <w:lvl w:ilvl="7" w:tplc="6756D50A">
      <w:start w:val="1"/>
      <w:numFmt w:val="lowerLetter"/>
      <w:lvlText w:val="%8."/>
      <w:lvlJc w:val="left"/>
      <w:pPr>
        <w:ind w:left="5760" w:hanging="360"/>
      </w:pPr>
    </w:lvl>
    <w:lvl w:ilvl="8" w:tplc="81BA41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84C"/>
    <w:multiLevelType w:val="multilevel"/>
    <w:tmpl w:val="45068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AEE6F9F"/>
    <w:multiLevelType w:val="hybridMultilevel"/>
    <w:tmpl w:val="0DCE00AC"/>
    <w:lvl w:ilvl="0" w:tplc="1CA67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D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69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C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2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488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4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2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F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1AB7"/>
    <w:multiLevelType w:val="hybridMultilevel"/>
    <w:tmpl w:val="2892D9B2"/>
    <w:lvl w:ilvl="0" w:tplc="1DB29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AEC3EA">
      <w:start w:val="1"/>
      <w:numFmt w:val="lowerLetter"/>
      <w:lvlText w:val="%2."/>
      <w:lvlJc w:val="left"/>
      <w:pPr>
        <w:ind w:left="1440" w:hanging="360"/>
      </w:pPr>
    </w:lvl>
    <w:lvl w:ilvl="2" w:tplc="79BA45F6">
      <w:start w:val="1"/>
      <w:numFmt w:val="lowerRoman"/>
      <w:lvlText w:val="%3."/>
      <w:lvlJc w:val="right"/>
      <w:pPr>
        <w:ind w:left="2160" w:hanging="180"/>
      </w:pPr>
    </w:lvl>
    <w:lvl w:ilvl="3" w:tplc="6076EFE8">
      <w:start w:val="1"/>
      <w:numFmt w:val="decimal"/>
      <w:lvlText w:val="%4."/>
      <w:lvlJc w:val="left"/>
      <w:pPr>
        <w:ind w:left="2880" w:hanging="360"/>
      </w:pPr>
    </w:lvl>
    <w:lvl w:ilvl="4" w:tplc="5202A7AA">
      <w:start w:val="1"/>
      <w:numFmt w:val="lowerLetter"/>
      <w:lvlText w:val="%5."/>
      <w:lvlJc w:val="left"/>
      <w:pPr>
        <w:ind w:left="3600" w:hanging="360"/>
      </w:pPr>
    </w:lvl>
    <w:lvl w:ilvl="5" w:tplc="9A02D826">
      <w:start w:val="1"/>
      <w:numFmt w:val="lowerRoman"/>
      <w:lvlText w:val="%6."/>
      <w:lvlJc w:val="right"/>
      <w:pPr>
        <w:ind w:left="4320" w:hanging="180"/>
      </w:pPr>
    </w:lvl>
    <w:lvl w:ilvl="6" w:tplc="AF2E0DCA">
      <w:start w:val="1"/>
      <w:numFmt w:val="decimal"/>
      <w:lvlText w:val="%7."/>
      <w:lvlJc w:val="left"/>
      <w:pPr>
        <w:ind w:left="5040" w:hanging="360"/>
      </w:pPr>
    </w:lvl>
    <w:lvl w:ilvl="7" w:tplc="538C830A">
      <w:start w:val="1"/>
      <w:numFmt w:val="lowerLetter"/>
      <w:lvlText w:val="%8."/>
      <w:lvlJc w:val="left"/>
      <w:pPr>
        <w:ind w:left="5760" w:hanging="360"/>
      </w:pPr>
    </w:lvl>
    <w:lvl w:ilvl="8" w:tplc="A9A845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E93"/>
    <w:multiLevelType w:val="multilevel"/>
    <w:tmpl w:val="EEBA0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5F1A34A8"/>
    <w:multiLevelType w:val="hybridMultilevel"/>
    <w:tmpl w:val="87703B86"/>
    <w:lvl w:ilvl="0" w:tplc="FC9E0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986590">
      <w:start w:val="1"/>
      <w:numFmt w:val="lowerLetter"/>
      <w:lvlText w:val="%2."/>
      <w:lvlJc w:val="left"/>
      <w:pPr>
        <w:ind w:left="1440" w:hanging="360"/>
      </w:pPr>
    </w:lvl>
    <w:lvl w:ilvl="2" w:tplc="AD7040F6">
      <w:start w:val="1"/>
      <w:numFmt w:val="lowerRoman"/>
      <w:lvlText w:val="%3."/>
      <w:lvlJc w:val="right"/>
      <w:pPr>
        <w:ind w:left="2160" w:hanging="180"/>
      </w:pPr>
    </w:lvl>
    <w:lvl w:ilvl="3" w:tplc="A5DA1828">
      <w:start w:val="1"/>
      <w:numFmt w:val="decimal"/>
      <w:lvlText w:val="%4."/>
      <w:lvlJc w:val="left"/>
      <w:pPr>
        <w:ind w:left="2880" w:hanging="360"/>
      </w:pPr>
    </w:lvl>
    <w:lvl w:ilvl="4" w:tplc="167E680A">
      <w:start w:val="1"/>
      <w:numFmt w:val="lowerLetter"/>
      <w:lvlText w:val="%5."/>
      <w:lvlJc w:val="left"/>
      <w:pPr>
        <w:ind w:left="3600" w:hanging="360"/>
      </w:pPr>
    </w:lvl>
    <w:lvl w:ilvl="5" w:tplc="B7C6AADA">
      <w:start w:val="1"/>
      <w:numFmt w:val="lowerRoman"/>
      <w:lvlText w:val="%6."/>
      <w:lvlJc w:val="right"/>
      <w:pPr>
        <w:ind w:left="4320" w:hanging="180"/>
      </w:pPr>
    </w:lvl>
    <w:lvl w:ilvl="6" w:tplc="F5382BB6">
      <w:start w:val="1"/>
      <w:numFmt w:val="decimal"/>
      <w:lvlText w:val="%7."/>
      <w:lvlJc w:val="left"/>
      <w:pPr>
        <w:ind w:left="5040" w:hanging="360"/>
      </w:pPr>
    </w:lvl>
    <w:lvl w:ilvl="7" w:tplc="6486FD7C">
      <w:start w:val="1"/>
      <w:numFmt w:val="lowerLetter"/>
      <w:lvlText w:val="%8."/>
      <w:lvlJc w:val="left"/>
      <w:pPr>
        <w:ind w:left="5760" w:hanging="360"/>
      </w:pPr>
    </w:lvl>
    <w:lvl w:ilvl="8" w:tplc="24CCEAAA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839454">
    <w:abstractNumId w:val="2"/>
  </w:num>
  <w:num w:numId="2" w16cid:durableId="422343581">
    <w:abstractNumId w:val="5"/>
  </w:num>
  <w:num w:numId="3" w16cid:durableId="829059448">
    <w:abstractNumId w:val="7"/>
  </w:num>
  <w:num w:numId="4" w16cid:durableId="1176307879">
    <w:abstractNumId w:val="4"/>
  </w:num>
  <w:num w:numId="5" w16cid:durableId="1653677069">
    <w:abstractNumId w:val="0"/>
  </w:num>
  <w:num w:numId="6" w16cid:durableId="334958636">
    <w:abstractNumId w:val="3"/>
  </w:num>
  <w:num w:numId="7" w16cid:durableId="1854103885">
    <w:abstractNumId w:val="6"/>
  </w:num>
  <w:num w:numId="8" w16cid:durableId="1681735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01"/>
    <w:rsid w:val="00516101"/>
    <w:rsid w:val="005D7F77"/>
    <w:rsid w:val="007D16C2"/>
    <w:rsid w:val="009E4CC9"/>
    <w:rsid w:val="00B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316F7"/>
  <w15:docId w15:val="{9C55DEE0-34D0-4D51-B259-A1FD71A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link w:val="CaptionChar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1">
    <w:name w:val="Caption Char1"/>
    <w:link w:val="Caption"/>
    <w:uiPriority w:val="99"/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1">
    <w:name w:val="Footer Char1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DefaultParagraphFont"/>
    <w:link w:val="21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">
    <w:name w:val="Основной текст (3)_"/>
    <w:basedOn w:val="DefaultParagraphFont"/>
    <w:link w:val="30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7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D967EC4-5BE2-4B2E-88A5-F0769B870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1815</Words>
  <Characters>10351</Characters>
  <Application>Microsoft Office Word</Application>
  <DocSecurity>0</DocSecurity>
  <Lines>86</Lines>
  <Paragraphs>24</Paragraphs>
  <ScaleCrop>false</ScaleCrop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PC20</cp:lastModifiedBy>
  <cp:revision>2</cp:revision>
  <dcterms:created xsi:type="dcterms:W3CDTF">2025-12-02T13:30:00Z</dcterms:created>
  <dcterms:modified xsi:type="dcterms:W3CDTF">2025-12-02T13:30:00Z</dcterms:modified>
</cp:coreProperties>
</file>