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77" w:rsidRDefault="00DC37C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Республиканское 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</w:t>
      </w:r>
      <w:r>
        <w:rPr>
          <w:rFonts w:ascii="Times New Roman" w:hAnsi="Times New Roman" w:cs="Times New Roman"/>
          <w:lang w:val="ru-RU"/>
        </w:rPr>
        <w:t xml:space="preserve">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A15977" w:rsidRDefault="00A15977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15977" w:rsidRDefault="00DC37C8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</w:t>
      </w:r>
      <w:r>
        <w:rPr>
          <w:rFonts w:ascii="Times New Roman" w:hAnsi="Times New Roman" w:cs="Times New Roman"/>
          <w:lang w:val="ru-RU"/>
        </w:rPr>
        <w:t xml:space="preserve">Договору, а Организатор – организовать участие Экспонента в </w:t>
      </w:r>
      <w:r w:rsidR="002F60CE">
        <w:rPr>
          <w:rFonts w:ascii="Times New Roman" w:hAnsi="Times New Roman" w:cs="Times New Roman"/>
          <w:b/>
          <w:lang w:val="ru-RU"/>
        </w:rPr>
        <w:t>международной специализированной выставке жилищно-коммунального хозяйства «НАШ ДОМ</w:t>
      </w:r>
      <w:r w:rsidR="002F60CE">
        <w:rPr>
          <w:rFonts w:ascii="Times New Roman" w:hAnsi="Times New Roman" w:cs="Times New Roman"/>
          <w:b/>
          <w:lang w:val="ru-RU"/>
        </w:rPr>
        <w:t>»</w:t>
      </w:r>
      <w:r>
        <w:rPr>
          <w:rFonts w:ascii="Times New Roman" w:hAnsi="Times New Roman" w:cs="Times New Roman"/>
          <w:b/>
          <w:lang w:val="ru-RU"/>
        </w:rPr>
        <w:t xml:space="preserve"> (далее – Выставка).</w:t>
      </w:r>
    </w:p>
    <w:p w:rsidR="00C5651E" w:rsidRDefault="00C5651E" w:rsidP="00C5651E">
      <w:pPr>
        <w:pStyle w:val="afc"/>
        <w:keepNext/>
        <w:numPr>
          <w:ilvl w:val="1"/>
          <w:numId w:val="8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02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-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07.09</w:t>
      </w:r>
      <w:r w:rsidRPr="000C1BB5">
        <w:rPr>
          <w:rFonts w:eastAsiaTheme="minorHAnsi"/>
          <w:sz w:val="22"/>
          <w:szCs w:val="22"/>
          <w:lang w:eastAsia="en-US"/>
        </w:rPr>
        <w:t xml:space="preserve">.2026г. с 9.00 до 20.00; </w:t>
      </w:r>
      <w:r>
        <w:rPr>
          <w:rFonts w:eastAsiaTheme="minorHAnsi"/>
          <w:sz w:val="22"/>
          <w:szCs w:val="22"/>
          <w:lang w:eastAsia="en-US"/>
        </w:rPr>
        <w:t>ввоз экспонатов: 08.09</w:t>
      </w:r>
      <w:r w:rsidRPr="000C1BB5">
        <w:rPr>
          <w:rFonts w:eastAsiaTheme="minorHAnsi"/>
          <w:sz w:val="22"/>
          <w:szCs w:val="22"/>
          <w:lang w:eastAsia="en-US"/>
        </w:rPr>
        <w:t xml:space="preserve">.2026г. с 9.00 до 20.00; </w:t>
      </w:r>
      <w:r>
        <w:rPr>
          <w:rFonts w:eastAsiaTheme="minorHAnsi"/>
          <w:sz w:val="22"/>
          <w:szCs w:val="22"/>
          <w:lang w:eastAsia="en-US"/>
        </w:rPr>
        <w:t>работа выставки: 09</w:t>
      </w:r>
      <w:r w:rsidRPr="00E0350C">
        <w:rPr>
          <w:rFonts w:eastAsiaTheme="minorHAnsi"/>
          <w:sz w:val="22"/>
          <w:szCs w:val="22"/>
          <w:lang w:eastAsia="en-US"/>
        </w:rPr>
        <w:t xml:space="preserve"> - 1</w:t>
      </w:r>
      <w:r>
        <w:rPr>
          <w:rFonts w:eastAsiaTheme="minorHAnsi"/>
          <w:sz w:val="22"/>
          <w:szCs w:val="22"/>
          <w:lang w:eastAsia="en-US"/>
        </w:rPr>
        <w:t>0.09.2026г. с 10.00 до 18.00, 11.09</w:t>
      </w:r>
      <w:r w:rsidRPr="00E0350C">
        <w:rPr>
          <w:rFonts w:eastAsiaTheme="minorHAnsi"/>
          <w:sz w:val="22"/>
          <w:szCs w:val="22"/>
          <w:lang w:eastAsia="en-US"/>
        </w:rPr>
        <w:t>.2026г. с 10.00 до 16.00;</w:t>
      </w:r>
      <w:r w:rsidRPr="00E0350C">
        <w:rPr>
          <w:rFonts w:eastAsiaTheme="minorHAnsi"/>
          <w:sz w:val="22"/>
          <w:szCs w:val="22"/>
          <w:highlight w:val="yellow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демонтаж: 11.09</w:t>
      </w:r>
      <w:r w:rsidRPr="000C1BB5">
        <w:rPr>
          <w:rFonts w:eastAsiaTheme="minorHAnsi"/>
          <w:sz w:val="22"/>
          <w:szCs w:val="22"/>
          <w:lang w:eastAsia="en-US"/>
        </w:rPr>
        <w:t>.2026г. с 16.00 до 22.00.</w:t>
      </w:r>
    </w:p>
    <w:p w:rsidR="00A15977" w:rsidRDefault="00DC37C8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</w:t>
      </w:r>
      <w:r>
        <w:rPr>
          <w:rFonts w:eastAsiaTheme="minorHAnsi"/>
          <w:sz w:val="22"/>
          <w:szCs w:val="22"/>
          <w:lang w:eastAsia="en-US"/>
        </w:rPr>
        <w:t>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A15977" w:rsidRDefault="00DC37C8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="00C5651E" w:rsidRPr="00300F09">
          <w:rPr>
            <w:rStyle w:val="af4"/>
            <w:sz w:val="22"/>
            <w:szCs w:val="22"/>
            <w:lang w:val="en-US"/>
          </w:rPr>
          <w:t>utility</w:t>
        </w:r>
        <w:r w:rsidR="00C5651E" w:rsidRPr="00300F09"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A15977" w:rsidRDefault="00DC37C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C5651E">
        <w:rPr>
          <w:rFonts w:ascii="Times New Roman" w:hAnsi="Times New Roman" w:cs="Times New Roman"/>
          <w:b/>
          <w:lang w:val="ru-RU"/>
        </w:rPr>
        <w:t>НАШ ДОМ</w:t>
      </w:r>
      <w:r>
        <w:rPr>
          <w:rFonts w:ascii="Times New Roman" w:hAnsi="Times New Roman" w:cs="Times New Roman"/>
          <w:b/>
          <w:lang w:val="ru-RU"/>
        </w:rPr>
        <w:t>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</w:t>
      </w:r>
      <w:r>
        <w:rPr>
          <w:rFonts w:ascii="Times New Roman" w:hAnsi="Times New Roman" w:cs="Times New Roman"/>
          <w:lang w:val="ru-RU"/>
        </w:rPr>
        <w:t xml:space="preserve">оговором. Руководство размещено и доступно для ознакомления на официальном интернет-сайте Выстави </w:t>
      </w:r>
      <w:hyperlink r:id="rId11" w:history="1">
        <w:r w:rsidR="00C5651E" w:rsidRPr="00300F09">
          <w:rPr>
            <w:rStyle w:val="af4"/>
            <w:rFonts w:ascii="Times New Roman" w:hAnsi="Times New Roman" w:cs="Times New Roman"/>
            <w:lang w:val="ru-RU"/>
          </w:rPr>
          <w:t>www.</w:t>
        </w:r>
        <w:r w:rsidR="00C5651E" w:rsidRPr="00300F09">
          <w:rPr>
            <w:rStyle w:val="af4"/>
            <w:rFonts w:ascii="Times New Roman" w:hAnsi="Times New Roman" w:cs="Times New Roman"/>
          </w:rPr>
          <w:t>utilityexpo</w:t>
        </w:r>
        <w:r w:rsidR="00C5651E" w:rsidRPr="00300F09">
          <w:rPr>
            <w:rStyle w:val="af4"/>
            <w:rFonts w:ascii="Times New Roman" w:hAnsi="Times New Roman" w:cs="Times New Roman"/>
            <w:lang w:val="ru-RU"/>
          </w:rPr>
          <w:t>.</w:t>
        </w:r>
        <w:proofErr w:type="spellStart"/>
        <w:r w:rsidR="00C5651E" w:rsidRPr="00300F09">
          <w:rPr>
            <w:rStyle w:val="af4"/>
            <w:rFonts w:ascii="Times New Roman" w:hAnsi="Times New Roman" w:cs="Times New Roman"/>
            <w:lang w:val="ru-RU"/>
          </w:rPr>
          <w:t>by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</w:t>
      </w:r>
      <w:r>
        <w:rPr>
          <w:rFonts w:ascii="Times New Roman" w:hAnsi="Times New Roman" w:cs="Times New Roman"/>
          <w:lang w:val="ru-RU"/>
        </w:rPr>
        <w:t>ознакомлен и согласен с ним. В случае противоречий между Договором и Руководством, положения Договора имеют приоритет.</w:t>
      </w:r>
    </w:p>
    <w:p w:rsidR="00A15977" w:rsidRDefault="00A15977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15977" w:rsidRDefault="00DC37C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Стоимость участия в выставке является договорной и определяется в соответствии со Счетом, являющимся </w:t>
      </w:r>
      <w:r>
        <w:rPr>
          <w:rFonts w:ascii="Times New Roman" w:hAnsi="Times New Roman" w:cs="Times New Roman"/>
          <w:lang w:val="ru-RU"/>
        </w:rPr>
        <w:t>его неотъемлемой частью. Окончательная стоимость участия определяется Актом сдачи-приемки предоставленных услуг.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</w:t>
      </w:r>
      <w:r>
        <w:rPr>
          <w:rFonts w:ascii="Times New Roman" w:hAnsi="Times New Roman" w:cs="Times New Roman"/>
          <w:lang w:val="ru-RU"/>
        </w:rPr>
        <w:t>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Нерезиденты Республики Беларусь осуществляют оплату в российских рублях по курсу белорусского р</w:t>
      </w:r>
      <w:r>
        <w:rPr>
          <w:rFonts w:ascii="Times New Roman" w:hAnsi="Times New Roman" w:cs="Times New Roman"/>
          <w:lang w:val="ru-RU"/>
        </w:rPr>
        <w:t xml:space="preserve">убля к российскому рублю, установленному Национальным Банком Республики Беларусь на день оплаты (http://www.nbrb.by). 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</w:t>
      </w:r>
      <w:r>
        <w:rPr>
          <w:rFonts w:ascii="Times New Roman" w:hAnsi="Times New Roman" w:cs="Times New Roman"/>
          <w:lang w:val="ru-RU"/>
        </w:rPr>
        <w:t xml:space="preserve"> дня работы выставки на основании выставленного Счета и Акта сдачи-приемки предоставленных услуг.</w:t>
      </w:r>
    </w:p>
    <w:p w:rsidR="00A15977" w:rsidRDefault="00A15977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15977" w:rsidRDefault="00DC37C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</w:t>
      </w:r>
      <w:r>
        <w:rPr>
          <w:rFonts w:ascii="Times New Roman" w:hAnsi="Times New Roman" w:cs="Times New Roman"/>
          <w:lang w:val="ru-RU"/>
        </w:rPr>
        <w:t xml:space="preserve">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A15977" w:rsidRDefault="00DC37C8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</w:t>
      </w:r>
      <w:r>
        <w:rPr>
          <w:rFonts w:ascii="Times New Roman" w:hAnsi="Times New Roman" w:cs="Times New Roman"/>
          <w:lang w:val="ru-RU"/>
        </w:rPr>
        <w:t xml:space="preserve"> оплатить услуги Организатора в порядке, установленном Договором.</w:t>
      </w:r>
    </w:p>
    <w:p w:rsidR="00A15977" w:rsidRDefault="00DC37C8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</w:t>
      </w:r>
      <w:r>
        <w:rPr>
          <w:rFonts w:eastAsiaTheme="minorHAnsi"/>
          <w:sz w:val="22"/>
          <w:szCs w:val="22"/>
          <w:lang w:eastAsia="en-US"/>
        </w:rPr>
        <w:t xml:space="preserve">копии документов, подтверждающих оплату участия. </w:t>
      </w:r>
    </w:p>
    <w:p w:rsidR="00A15977" w:rsidRDefault="00DC37C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A15977" w:rsidRDefault="00DC37C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</w:t>
      </w:r>
      <w:r>
        <w:rPr>
          <w:rFonts w:ascii="Times New Roman" w:hAnsi="Times New Roman" w:cs="Times New Roman"/>
          <w:lang w:val="ru-RU"/>
        </w:rPr>
        <w:t>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A15977" w:rsidRDefault="00DC37C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</w:t>
      </w:r>
      <w:r>
        <w:rPr>
          <w:rFonts w:ascii="Times New Roman" w:hAnsi="Times New Roman" w:cs="Times New Roman"/>
          <w:lang w:val="ru-RU"/>
        </w:rPr>
        <w:t>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A15977" w:rsidRDefault="00DC37C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A15977" w:rsidRDefault="00DC37C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A15977" w:rsidRDefault="00DC37C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Осуществлять продажу товаров на выставке в соответствии с Правилами торговли, при наличии документов, </w:t>
      </w:r>
      <w:r>
        <w:rPr>
          <w:rFonts w:ascii="Times New Roman" w:hAnsi="Times New Roman" w:cs="Times New Roman"/>
          <w:lang w:val="ru-RU"/>
        </w:rPr>
        <w:t>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</w:t>
      </w:r>
      <w:r>
        <w:rPr>
          <w:rFonts w:ascii="Times New Roman" w:hAnsi="Times New Roman" w:cs="Times New Roman"/>
          <w:lang w:val="ru-RU"/>
        </w:rPr>
        <w:t>ых.</w:t>
      </w:r>
    </w:p>
    <w:p w:rsidR="00A15977" w:rsidRDefault="00A15977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15977" w:rsidRDefault="00DC37C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</w:t>
      </w:r>
      <w:r>
        <w:rPr>
          <w:rFonts w:ascii="Times New Roman" w:hAnsi="Times New Roman" w:cs="Times New Roman"/>
          <w:lang w:val="ru-RU"/>
        </w:rPr>
        <w:t>сть за повреждения или ущерб, причинённый Экспоненту третьими лицами во время работы Выставки.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A15977" w:rsidRDefault="00DC37C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</w:t>
      </w:r>
      <w:r>
        <w:rPr>
          <w:rFonts w:ascii="Times New Roman" w:hAnsi="Times New Roman" w:cs="Times New Roman"/>
          <w:lang w:val="ru-RU"/>
        </w:rPr>
        <w:t>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</w:t>
      </w:r>
      <w:r>
        <w:rPr>
          <w:rFonts w:ascii="Times New Roman" w:hAnsi="Times New Roman" w:cs="Times New Roman"/>
          <w:lang w:val="ru-RU"/>
        </w:rPr>
        <w:t>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A15977" w:rsidRDefault="00DC37C8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</w:t>
      </w:r>
      <w:r>
        <w:rPr>
          <w:rFonts w:ascii="Times New Roman" w:hAnsi="Times New Roman" w:cs="Times New Roman"/>
          <w:lang w:val="ru-RU"/>
        </w:rPr>
        <w:t xml:space="preserve">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</w:t>
      </w:r>
      <w:r>
        <w:rPr>
          <w:rFonts w:ascii="Times New Roman" w:hAnsi="Times New Roman" w:cs="Times New Roman"/>
          <w:lang w:val="ru-RU"/>
        </w:rPr>
        <w:t>выставления Организатором счета.</w:t>
      </w:r>
    </w:p>
    <w:p w:rsidR="00A15977" w:rsidRDefault="00DC37C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</w:t>
      </w:r>
      <w:r>
        <w:rPr>
          <w:rFonts w:ascii="Times New Roman" w:hAnsi="Times New Roman" w:cs="Times New Roman"/>
          <w:lang w:val="ru-RU"/>
        </w:rPr>
        <w:t xml:space="preserve">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</w:t>
      </w:r>
      <w:r>
        <w:rPr>
          <w:rFonts w:ascii="Times New Roman" w:hAnsi="Times New Roman" w:cs="Times New Roman"/>
          <w:lang w:val="ru-RU"/>
        </w:rPr>
        <w:t>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</w:t>
      </w:r>
      <w:r>
        <w:rPr>
          <w:rFonts w:ascii="Times New Roman" w:hAnsi="Times New Roman" w:cs="Times New Roman"/>
          <w:lang w:val="ru-RU"/>
        </w:rPr>
        <w:t>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</w:t>
      </w:r>
      <w:r>
        <w:rPr>
          <w:rFonts w:ascii="Times New Roman" w:hAnsi="Times New Roman" w:cs="Times New Roman"/>
          <w:lang w:val="ru-RU"/>
        </w:rPr>
        <w:t>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</w:t>
      </w:r>
      <w:r>
        <w:rPr>
          <w:rFonts w:ascii="Times New Roman" w:hAnsi="Times New Roman" w:cs="Times New Roman"/>
          <w:lang w:val="ru-RU"/>
        </w:rPr>
        <w:t>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</w:t>
      </w:r>
      <w:r>
        <w:rPr>
          <w:rFonts w:ascii="Times New Roman" w:hAnsi="Times New Roman" w:cs="Times New Roman"/>
          <w:lang w:val="ru-RU"/>
        </w:rPr>
        <w:t>лючением стоимости дополнительного оборудования и мебели.</w:t>
      </w:r>
    </w:p>
    <w:p w:rsidR="00A15977" w:rsidRDefault="00DC37C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</w:t>
      </w:r>
      <w:r>
        <w:rPr>
          <w:rFonts w:ascii="Times New Roman" w:hAnsi="Times New Roman" w:cs="Times New Roman"/>
          <w:lang w:val="ru-RU"/>
        </w:rPr>
        <w:t>казать Экспоненту в допуске к участию в выставке. Пеня начисляется с первого дня работы Выставки.</w:t>
      </w:r>
    </w:p>
    <w:p w:rsidR="00A15977" w:rsidRDefault="00A15977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A15977" w:rsidRDefault="00DC37C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A15977" w:rsidRDefault="00DC37C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Стороны, их аффилированные лица, работники или посредники обязуются не совершать в о</w:t>
      </w:r>
      <w:r>
        <w:rPr>
          <w:rFonts w:ascii="Times New Roman" w:hAnsi="Times New Roman" w:cs="Times New Roman"/>
          <w:lang w:val="ru-RU"/>
        </w:rPr>
        <w:t>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A15977" w:rsidRDefault="00DC37C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</w:t>
      </w:r>
      <w:r>
        <w:rPr>
          <w:rFonts w:ascii="Times New Roman" w:hAnsi="Times New Roman" w:cs="Times New Roman"/>
          <w:lang w:val="ru-RU"/>
        </w:rPr>
        <w:t>тся не допускать действий коррупционной направленности.</w:t>
      </w:r>
    </w:p>
    <w:p w:rsidR="00A15977" w:rsidRDefault="00DC37C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A15977" w:rsidRDefault="00DC37C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A15977" w:rsidRDefault="00A15977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15977" w:rsidRDefault="00DC37C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</w:t>
      </w:r>
      <w:proofErr w:type="spellStart"/>
      <w:r>
        <w:rPr>
          <w:rFonts w:ascii="Times New Roman" w:hAnsi="Times New Roman" w:cs="Times New Roman"/>
          <w:lang w:val="ru-RU"/>
        </w:rPr>
        <w:t>г.Минска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r w:rsidRPr="002F60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Применимое право - право Республики Беларусь.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</w:t>
      </w:r>
      <w:r>
        <w:rPr>
          <w:rFonts w:ascii="Times New Roman" w:hAnsi="Times New Roman" w:cs="Times New Roman"/>
          <w:lang w:val="ru-RU"/>
        </w:rPr>
        <w:t>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A15977" w:rsidRDefault="00A15977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A15977" w:rsidRDefault="00DC37C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</w:t>
      </w:r>
      <w:r>
        <w:rPr>
          <w:rFonts w:ascii="Times New Roman" w:hAnsi="Times New Roman" w:cs="Times New Roman"/>
          <w:lang w:val="ru-RU"/>
        </w:rPr>
        <w:t>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Договор вступает в силу со дня его подписания и действует </w:t>
      </w:r>
      <w:r>
        <w:rPr>
          <w:rFonts w:ascii="Times New Roman" w:hAnsi="Times New Roman" w:cs="Times New Roman"/>
          <w:lang w:val="ru-RU"/>
        </w:rPr>
        <w:t>до полного исполнения сторонами обязательств.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». При строительстве стендов сторонними организациями </w:t>
      </w:r>
      <w:r>
        <w:rPr>
          <w:rFonts w:ascii="Times New Roman" w:hAnsi="Times New Roman" w:cs="Times New Roman"/>
          <w:b/>
          <w:lang w:val="ru-RU"/>
        </w:rPr>
        <w:t>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2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</w:t>
      </w:r>
      <w:r>
        <w:rPr>
          <w:rFonts w:ascii="Times New Roman" w:hAnsi="Times New Roman" w:cs="Times New Roman"/>
          <w:lang w:val="ru-RU"/>
        </w:rPr>
        <w:t>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3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сайт – www.otpusk.by.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Услуги по таможенному оформлению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4" w:tooltip="mailto:info@ekspeditor.com" w:history="1">
        <w:r>
          <w:rPr>
            <w:rStyle w:val="af4"/>
            <w:rFonts w:ascii="Times New Roman" w:hAnsi="Times New Roman" w:cs="Times New Roman"/>
            <w:lang w:val="ru-RU"/>
          </w:rPr>
          <w:t>info@e</w:t>
        </w:r>
        <w:r>
          <w:rPr>
            <w:rStyle w:val="af4"/>
            <w:rFonts w:ascii="Times New Roman" w:hAnsi="Times New Roman" w:cs="Times New Roman"/>
          </w:rPr>
          <w:t>ks</w:t>
        </w:r>
        <w:r>
          <w:rPr>
            <w:rStyle w:val="af4"/>
            <w:rFonts w:ascii="Times New Roman" w:hAnsi="Times New Roman" w:cs="Times New Roman"/>
            <w:lang w:val="ru-RU"/>
          </w:rPr>
          <w:t>peditor.com</w:t>
        </w:r>
      </w:hyperlink>
      <w:r>
        <w:rPr>
          <w:rFonts w:ascii="Times New Roman" w:hAnsi="Times New Roman" w:cs="Times New Roman"/>
          <w:lang w:val="ru-RU"/>
        </w:rPr>
        <w:t>.</w:t>
      </w:r>
    </w:p>
    <w:p w:rsidR="00A15977" w:rsidRDefault="00DC37C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A15977" w:rsidRDefault="00A15977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A15977">
        <w:trPr>
          <w:trHeight w:val="1775"/>
        </w:trPr>
        <w:tc>
          <w:tcPr>
            <w:tcW w:w="5245" w:type="dxa"/>
            <w:shd w:val="clear" w:color="auto" w:fill="auto"/>
          </w:tcPr>
          <w:p w:rsidR="00A15977" w:rsidRDefault="00DC37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A15977" w:rsidRDefault="00DC37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A15977" w:rsidRDefault="00DC3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A15977" w:rsidRDefault="00DC37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УНП 100055235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Р/с BY09MMBN30120000040101642111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 ПОЛУЧАТЕЛЯ: 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ОАО «Банк </w:t>
            </w:r>
            <w:proofErr w:type="spellStart"/>
            <w:r>
              <w:rPr>
                <w:sz w:val="20"/>
                <w:szCs w:val="22"/>
              </w:rPr>
              <w:t>Дабрабыт</w:t>
            </w:r>
            <w:proofErr w:type="spellEnd"/>
            <w:r>
              <w:rPr>
                <w:sz w:val="20"/>
                <w:szCs w:val="22"/>
              </w:rPr>
              <w:t>», БИК MMBNBY22,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30111810600000000268, г. Минск, РБ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БАНК-КОРРЕСПОНДЕНТ БАНКА ПОЛУЧАТЕЛЯ: 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 «ТКБ БАНК»,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30101810800000000388 в ГУ Банка России по ЦФО, г. Москва, РФ</w:t>
            </w:r>
          </w:p>
          <w:p w:rsidR="00A15977" w:rsidRDefault="00DC37C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БИК 044525388, SWIFT TJSCRUMM</w:t>
            </w:r>
          </w:p>
          <w:p w:rsidR="00A15977" w:rsidRDefault="00DC37C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ИНН 7709129705, КПП 770901001</w:t>
            </w:r>
          </w:p>
        </w:tc>
        <w:tc>
          <w:tcPr>
            <w:tcW w:w="5387" w:type="dxa"/>
            <w:gridSpan w:val="2"/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A15977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A15977" w:rsidRDefault="00DC37C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:rsidR="00A15977" w:rsidRDefault="00DC37C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</w:t>
                  </w:r>
                  <w:r>
                    <w:rPr>
                      <w:b/>
                      <w:sz w:val="22"/>
                      <w:szCs w:val="22"/>
                    </w:rPr>
                    <w:t>______________________________</w:t>
                  </w:r>
                </w:p>
                <w:p w:rsidR="00A15977" w:rsidRDefault="00A15977">
                  <w:pPr>
                    <w:rPr>
                      <w:sz w:val="22"/>
                      <w:szCs w:val="22"/>
                    </w:rPr>
                  </w:pPr>
                </w:p>
                <w:p w:rsidR="00A15977" w:rsidRDefault="00DC37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:rsidR="00A15977" w:rsidRDefault="00A15977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15977" w:rsidRDefault="00DC37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:rsidR="00A15977" w:rsidRDefault="00DC37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A15977" w:rsidRDefault="00DC37C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:rsidR="00A15977" w:rsidRDefault="00DC37C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:rsidR="00A15977" w:rsidRDefault="00DC37C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A15977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A15977" w:rsidRDefault="00A15977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A15977" w:rsidRDefault="00A15977">
            <w:pPr>
              <w:rPr>
                <w:sz w:val="22"/>
                <w:szCs w:val="22"/>
              </w:rPr>
            </w:pPr>
          </w:p>
        </w:tc>
      </w:tr>
      <w:tr w:rsidR="00A15977">
        <w:trPr>
          <w:gridAfter w:val="1"/>
          <w:wAfter w:w="562" w:type="dxa"/>
          <w:trHeight w:val="738"/>
        </w:trPr>
        <w:tc>
          <w:tcPr>
            <w:tcW w:w="5245" w:type="dxa"/>
            <w:shd w:val="clear" w:color="auto" w:fill="auto"/>
          </w:tcPr>
          <w:p w:rsidR="00A15977" w:rsidRDefault="00A15977">
            <w:pPr>
              <w:rPr>
                <w:sz w:val="22"/>
                <w:szCs w:val="22"/>
              </w:rPr>
            </w:pPr>
          </w:p>
          <w:p w:rsidR="00A15977" w:rsidRDefault="00DC3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A15977" w:rsidRDefault="00DC37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  <w:shd w:val="clear" w:color="auto" w:fill="auto"/>
          </w:tcPr>
          <w:p w:rsidR="00A15977" w:rsidRDefault="00A15977">
            <w:pPr>
              <w:rPr>
                <w:sz w:val="22"/>
                <w:szCs w:val="22"/>
              </w:rPr>
            </w:pPr>
          </w:p>
          <w:p w:rsidR="00A15977" w:rsidRDefault="00DC3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A15977" w:rsidRDefault="00A15977">
      <w:pPr>
        <w:rPr>
          <w:sz w:val="22"/>
          <w:szCs w:val="22"/>
        </w:rPr>
      </w:pPr>
    </w:p>
    <w:p w:rsidR="00A15977" w:rsidRDefault="00A15977">
      <w:pPr>
        <w:rPr>
          <w:sz w:val="22"/>
          <w:szCs w:val="22"/>
        </w:rPr>
      </w:pPr>
    </w:p>
    <w:sectPr w:rsidR="00A15977">
      <w:headerReference w:type="first" r:id="rId15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C8" w:rsidRDefault="00DC37C8">
      <w:r>
        <w:separator/>
      </w:r>
    </w:p>
  </w:endnote>
  <w:endnote w:type="continuationSeparator" w:id="0">
    <w:p w:rsidR="00DC37C8" w:rsidRDefault="00DC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C8" w:rsidRDefault="00DC37C8">
      <w:r>
        <w:separator/>
      </w:r>
    </w:p>
  </w:footnote>
  <w:footnote w:type="continuationSeparator" w:id="0">
    <w:p w:rsidR="00DC37C8" w:rsidRDefault="00DC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977" w:rsidRDefault="00A15977">
    <w:pPr>
      <w:pStyle w:val="af3"/>
      <w:rPr>
        <w:rFonts w:ascii="Arial" w:hAnsi="Arial" w:cs="Arial"/>
        <w:b/>
        <w:sz w:val="6"/>
        <w:lang w:val="ru-RU"/>
      </w:rPr>
    </w:pPr>
  </w:p>
  <w:p w:rsidR="00A15977" w:rsidRDefault="00DC37C8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A15977">
      <w:trPr>
        <w:trHeight w:val="1138"/>
      </w:trPr>
      <w:tc>
        <w:tcPr>
          <w:tcW w:w="4978" w:type="dxa"/>
        </w:tcPr>
        <w:p w:rsidR="00A15977" w:rsidRDefault="00C5651E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0.5pt;height:73.5pt">
                <v:imagedata r:id="rId1" o:title="НАШ_ДОМ_ЛОГО_2"/>
              </v:shape>
            </w:pict>
          </w:r>
        </w:p>
      </w:tc>
      <w:tc>
        <w:tcPr>
          <w:tcW w:w="5522" w:type="dxa"/>
        </w:tcPr>
        <w:p w:rsidR="00A15977" w:rsidRDefault="00A15977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A15977" w:rsidRDefault="00A15977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A15977" w:rsidRDefault="00DC37C8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A15977" w:rsidRDefault="00A15977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A15977" w:rsidRDefault="00DC37C8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A15977" w:rsidRDefault="00A15977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A15977" w:rsidRDefault="00A15977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26C7"/>
    <w:multiLevelType w:val="multilevel"/>
    <w:tmpl w:val="CE34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F873DC8"/>
    <w:multiLevelType w:val="hybridMultilevel"/>
    <w:tmpl w:val="C9E00FF8"/>
    <w:lvl w:ilvl="0" w:tplc="12024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4AEB32">
      <w:start w:val="1"/>
      <w:numFmt w:val="lowerLetter"/>
      <w:lvlText w:val="%2."/>
      <w:lvlJc w:val="left"/>
      <w:pPr>
        <w:ind w:left="1440" w:hanging="360"/>
      </w:pPr>
    </w:lvl>
    <w:lvl w:ilvl="2" w:tplc="7C8A3A16">
      <w:start w:val="1"/>
      <w:numFmt w:val="lowerRoman"/>
      <w:lvlText w:val="%3."/>
      <w:lvlJc w:val="right"/>
      <w:pPr>
        <w:ind w:left="2160" w:hanging="180"/>
      </w:pPr>
    </w:lvl>
    <w:lvl w:ilvl="3" w:tplc="ED741296">
      <w:start w:val="1"/>
      <w:numFmt w:val="decimal"/>
      <w:lvlText w:val="%4."/>
      <w:lvlJc w:val="left"/>
      <w:pPr>
        <w:ind w:left="2880" w:hanging="360"/>
      </w:pPr>
    </w:lvl>
    <w:lvl w:ilvl="4" w:tplc="69AA1A1A">
      <w:start w:val="1"/>
      <w:numFmt w:val="lowerLetter"/>
      <w:lvlText w:val="%5."/>
      <w:lvlJc w:val="left"/>
      <w:pPr>
        <w:ind w:left="3600" w:hanging="360"/>
      </w:pPr>
    </w:lvl>
    <w:lvl w:ilvl="5" w:tplc="C1F8E1D8">
      <w:start w:val="1"/>
      <w:numFmt w:val="lowerRoman"/>
      <w:lvlText w:val="%6."/>
      <w:lvlJc w:val="right"/>
      <w:pPr>
        <w:ind w:left="4320" w:hanging="180"/>
      </w:pPr>
    </w:lvl>
    <w:lvl w:ilvl="6" w:tplc="BE821A42">
      <w:start w:val="1"/>
      <w:numFmt w:val="decimal"/>
      <w:lvlText w:val="%7."/>
      <w:lvlJc w:val="left"/>
      <w:pPr>
        <w:ind w:left="5040" w:hanging="360"/>
      </w:pPr>
    </w:lvl>
    <w:lvl w:ilvl="7" w:tplc="A79CB224">
      <w:start w:val="1"/>
      <w:numFmt w:val="lowerLetter"/>
      <w:lvlText w:val="%8."/>
      <w:lvlJc w:val="left"/>
      <w:pPr>
        <w:ind w:left="5760" w:hanging="360"/>
      </w:pPr>
    </w:lvl>
    <w:lvl w:ilvl="8" w:tplc="95EC19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30E81"/>
    <w:multiLevelType w:val="hybridMultilevel"/>
    <w:tmpl w:val="30CA1D5E"/>
    <w:lvl w:ilvl="0" w:tplc="F6604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A1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EF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42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615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06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82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C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ED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E2C09"/>
    <w:multiLevelType w:val="hybridMultilevel"/>
    <w:tmpl w:val="0A6C1F1C"/>
    <w:lvl w:ilvl="0" w:tplc="FE20AB16">
      <w:start w:val="1"/>
      <w:numFmt w:val="decimal"/>
      <w:lvlText w:val="%1."/>
      <w:lvlJc w:val="left"/>
      <w:pPr>
        <w:ind w:left="1080" w:hanging="360"/>
      </w:pPr>
    </w:lvl>
    <w:lvl w:ilvl="1" w:tplc="19B8EC9A">
      <w:start w:val="1"/>
      <w:numFmt w:val="lowerLetter"/>
      <w:lvlText w:val="%2."/>
      <w:lvlJc w:val="left"/>
      <w:pPr>
        <w:ind w:left="1800" w:hanging="360"/>
      </w:pPr>
    </w:lvl>
    <w:lvl w:ilvl="2" w:tplc="98FC7BB0">
      <w:start w:val="1"/>
      <w:numFmt w:val="lowerRoman"/>
      <w:lvlText w:val="%3."/>
      <w:lvlJc w:val="right"/>
      <w:pPr>
        <w:ind w:left="2520" w:hanging="180"/>
      </w:pPr>
    </w:lvl>
    <w:lvl w:ilvl="3" w:tplc="9F60D4A6">
      <w:start w:val="1"/>
      <w:numFmt w:val="decimal"/>
      <w:lvlText w:val="%4."/>
      <w:lvlJc w:val="left"/>
      <w:pPr>
        <w:ind w:left="3240" w:hanging="360"/>
      </w:pPr>
    </w:lvl>
    <w:lvl w:ilvl="4" w:tplc="6DFA9356">
      <w:start w:val="1"/>
      <w:numFmt w:val="lowerLetter"/>
      <w:lvlText w:val="%5."/>
      <w:lvlJc w:val="left"/>
      <w:pPr>
        <w:ind w:left="3960" w:hanging="360"/>
      </w:pPr>
    </w:lvl>
    <w:lvl w:ilvl="5" w:tplc="F5488EC4">
      <w:start w:val="1"/>
      <w:numFmt w:val="lowerRoman"/>
      <w:lvlText w:val="%6."/>
      <w:lvlJc w:val="right"/>
      <w:pPr>
        <w:ind w:left="4680" w:hanging="180"/>
      </w:pPr>
    </w:lvl>
    <w:lvl w:ilvl="6" w:tplc="8032942E">
      <w:start w:val="1"/>
      <w:numFmt w:val="decimal"/>
      <w:lvlText w:val="%7."/>
      <w:lvlJc w:val="left"/>
      <w:pPr>
        <w:ind w:left="5400" w:hanging="360"/>
      </w:pPr>
    </w:lvl>
    <w:lvl w:ilvl="7" w:tplc="1B6C7400">
      <w:start w:val="1"/>
      <w:numFmt w:val="lowerLetter"/>
      <w:lvlText w:val="%8."/>
      <w:lvlJc w:val="left"/>
      <w:pPr>
        <w:ind w:left="6120" w:hanging="360"/>
      </w:pPr>
    </w:lvl>
    <w:lvl w:ilvl="8" w:tplc="8CA875F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8199D"/>
    <w:multiLevelType w:val="hybridMultilevel"/>
    <w:tmpl w:val="AEF8DCFA"/>
    <w:lvl w:ilvl="0" w:tplc="0B42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AAF236">
      <w:start w:val="1"/>
      <w:numFmt w:val="lowerLetter"/>
      <w:lvlText w:val="%2."/>
      <w:lvlJc w:val="left"/>
      <w:pPr>
        <w:ind w:left="1440" w:hanging="360"/>
      </w:pPr>
    </w:lvl>
    <w:lvl w:ilvl="2" w:tplc="A2F62C96">
      <w:start w:val="1"/>
      <w:numFmt w:val="lowerRoman"/>
      <w:lvlText w:val="%3."/>
      <w:lvlJc w:val="right"/>
      <w:pPr>
        <w:ind w:left="2160" w:hanging="180"/>
      </w:pPr>
    </w:lvl>
    <w:lvl w:ilvl="3" w:tplc="C5ECA94E">
      <w:start w:val="1"/>
      <w:numFmt w:val="decimal"/>
      <w:lvlText w:val="%4."/>
      <w:lvlJc w:val="left"/>
      <w:pPr>
        <w:ind w:left="2880" w:hanging="360"/>
      </w:pPr>
    </w:lvl>
    <w:lvl w:ilvl="4" w:tplc="C4B87C22">
      <w:start w:val="1"/>
      <w:numFmt w:val="lowerLetter"/>
      <w:lvlText w:val="%5."/>
      <w:lvlJc w:val="left"/>
      <w:pPr>
        <w:ind w:left="3600" w:hanging="360"/>
      </w:pPr>
    </w:lvl>
    <w:lvl w:ilvl="5" w:tplc="95EE7A16">
      <w:start w:val="1"/>
      <w:numFmt w:val="lowerRoman"/>
      <w:lvlText w:val="%6."/>
      <w:lvlJc w:val="right"/>
      <w:pPr>
        <w:ind w:left="4320" w:hanging="180"/>
      </w:pPr>
    </w:lvl>
    <w:lvl w:ilvl="6" w:tplc="22AC6346">
      <w:start w:val="1"/>
      <w:numFmt w:val="decimal"/>
      <w:lvlText w:val="%7."/>
      <w:lvlJc w:val="left"/>
      <w:pPr>
        <w:ind w:left="5040" w:hanging="360"/>
      </w:pPr>
    </w:lvl>
    <w:lvl w:ilvl="7" w:tplc="021A059C">
      <w:start w:val="1"/>
      <w:numFmt w:val="lowerLetter"/>
      <w:lvlText w:val="%8."/>
      <w:lvlJc w:val="left"/>
      <w:pPr>
        <w:ind w:left="5760" w:hanging="360"/>
      </w:pPr>
    </w:lvl>
    <w:lvl w:ilvl="8" w:tplc="8C38D4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A74"/>
    <w:multiLevelType w:val="multilevel"/>
    <w:tmpl w:val="6700E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7A1C51F8"/>
    <w:multiLevelType w:val="multilevel"/>
    <w:tmpl w:val="6922C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7EA60904"/>
    <w:multiLevelType w:val="hybridMultilevel"/>
    <w:tmpl w:val="4288B344"/>
    <w:lvl w:ilvl="0" w:tplc="DCD0A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28F70">
      <w:start w:val="1"/>
      <w:numFmt w:val="lowerLetter"/>
      <w:lvlText w:val="%2."/>
      <w:lvlJc w:val="left"/>
      <w:pPr>
        <w:ind w:left="1440" w:hanging="360"/>
      </w:pPr>
    </w:lvl>
    <w:lvl w:ilvl="2" w:tplc="43687E12">
      <w:start w:val="1"/>
      <w:numFmt w:val="lowerRoman"/>
      <w:lvlText w:val="%3."/>
      <w:lvlJc w:val="right"/>
      <w:pPr>
        <w:ind w:left="2160" w:hanging="180"/>
      </w:pPr>
    </w:lvl>
    <w:lvl w:ilvl="3" w:tplc="EEF4C0F8">
      <w:start w:val="1"/>
      <w:numFmt w:val="decimal"/>
      <w:lvlText w:val="%4."/>
      <w:lvlJc w:val="left"/>
      <w:pPr>
        <w:ind w:left="2880" w:hanging="360"/>
      </w:pPr>
    </w:lvl>
    <w:lvl w:ilvl="4" w:tplc="A60CB0DC">
      <w:start w:val="1"/>
      <w:numFmt w:val="lowerLetter"/>
      <w:lvlText w:val="%5."/>
      <w:lvlJc w:val="left"/>
      <w:pPr>
        <w:ind w:left="3600" w:hanging="360"/>
      </w:pPr>
    </w:lvl>
    <w:lvl w:ilvl="5" w:tplc="682CBD7C">
      <w:start w:val="1"/>
      <w:numFmt w:val="lowerRoman"/>
      <w:lvlText w:val="%6."/>
      <w:lvlJc w:val="right"/>
      <w:pPr>
        <w:ind w:left="4320" w:hanging="180"/>
      </w:pPr>
    </w:lvl>
    <w:lvl w:ilvl="6" w:tplc="C5141100">
      <w:start w:val="1"/>
      <w:numFmt w:val="decimal"/>
      <w:lvlText w:val="%7."/>
      <w:lvlJc w:val="left"/>
      <w:pPr>
        <w:ind w:left="5040" w:hanging="360"/>
      </w:pPr>
    </w:lvl>
    <w:lvl w:ilvl="7" w:tplc="A4303C02">
      <w:start w:val="1"/>
      <w:numFmt w:val="lowerLetter"/>
      <w:lvlText w:val="%8."/>
      <w:lvlJc w:val="left"/>
      <w:pPr>
        <w:ind w:left="5760" w:hanging="360"/>
      </w:pPr>
    </w:lvl>
    <w:lvl w:ilvl="8" w:tplc="A6B4F8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77"/>
    <w:rsid w:val="002F60CE"/>
    <w:rsid w:val="00A15977"/>
    <w:rsid w:val="00C5651E"/>
    <w:rsid w:val="00D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19CF"/>
  <w15:docId w15:val="{A9F22F6E-6DBB-4DD1-A6BE-12ECEFAD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styleId="afe">
    <w:name w:val="FollowedHyperlink"/>
    <w:basedOn w:val="a0"/>
    <w:uiPriority w:val="99"/>
    <w:semiHidden/>
    <w:unhideWhenUsed/>
    <w:rsid w:val="00C56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ility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utility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ekspedit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1C92AC1-1588-45B3-905B-E87A0463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3</cp:revision>
  <dcterms:created xsi:type="dcterms:W3CDTF">2025-12-04T07:14:00Z</dcterms:created>
  <dcterms:modified xsi:type="dcterms:W3CDTF">2025-12-04T07:20:00Z</dcterms:modified>
</cp:coreProperties>
</file>